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e60d70331b07467b"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48</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GAL Microregiunea Hârtibaciu</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Investiții pentru dezvoltarea serviciilor de bază pentru populație și prezervarea patrimoniului</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 </w:t>
            </w:r>
          </w:p>
        </w:tc>
        <w:tc>
          <w:tcPr>
            <w:vAlign w:val="center"/>
          </w:tcPr>
          <w:p>
            <w:r>
              <w:rPr>
                <w:rFonts w:ascii="Cambria Bold" w:hAnsi="Cambria Bold"/>
                <w:b/>
                <w:color w:val="1B4167"/>
                <w:sz w:val="24"/>
              </w:rPr>
              <w:t>Proiectul se realizează în teritoriulGrupului de Acțiune LocalăMicroregiunea Hârtibaciu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Cererea de finanțare (date locație investiție); documente amplasament (după caz: extras CF / plan de amplasament / acte drept de folosință/administrare). Se verifică: dacă amplasamentul investiției este situat în teritoriul GAL MH, pe baza datelor din cerere și a documentelor de amplasament.</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Solicitantul este unUAT/ADI/parteneriat informal sau un ONG/unitate de cult care deține un obiectiv de patrimoniu de importanțălocală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documente de identificare și încadrare a solicitantului (CIF, acte de înființare/funcționare, dovadă reprezentant legal); pentru parteneriat informal: acord de parteneriat si documente de identificare si incadrare a partenerilor UAT-uri (CIF, acte de înființare/funcționare, dovadă reprezentant legal); pentru ONG/unitate de cult: documente care dovedesc deținerea/administrarea obiectivului de patrimoniu (după caz). Se verifică: încadrarea solicitantului în una dintre categoriile eligibile, existența acordului de parteneriat (in cazul parteneriatului informal și/sau deținerea/administrarea obiectivului de patrimoniu (unde se aplică).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Solicitantul nu trebuie să fie în insolvență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documente/declarații relevante care susțin situația solicitantului (în funcție de forma solicitantului). Se verifică: dacă solicitantul nu se află în insolvență, conform legislației aplicabile și documentelor depuse.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Solicitantul trebuie să se angajeze că asigură întreținerea/mentenanțainvestiţiei. Va prezinta, obligatoriu, un plan de operare și mentenanță șidovada asigurării resurselor pentrufuncționarea investiției pe perioada minimă de durabilitate (3 anipentru proiectele fara constructii montaj si 5 ani pentru proiectele cuconstructii montaj), de la finalizarea investitiei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Documente:1. Plan de operare și mentenanță – Anexa T7 (completată integral).2. Angajament/decizie de asigurare a resurselor pentru operare și mentenanță (3/5 ani), care include cel puțin:identificarea investiției (denumire, locație); perioada asumată (3 ani fără C-M / 5 ani cu C-M); asumarea acoperirii costurilor anuale de operare și mentenanță(conform estimării din Anexa T7).Forme acceptate ale angajamentului/deciziei (după tip solicitant) UAT – HCL/echivalent; ADI – hotărâre AGA/echivalent; ONG – hotărâre CD/AGA; unitate de cult – hotărâre/decizie consiliu parohial.Se verifică:existența Anexei T7 completate (operare + mentenanță + estimare cost anual);existența angajamentului/deciziei și acoperirea perioadei minime (3/5 ani, în funcție de existența C-M);coerența între investiția descrisă în proiect și investiția la care se referă angajamentul/decizia.</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Investiția trebuie să demonstreze necesitatea, oportunitatea și potențialul economic al acesteia.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justificarea din cererea de finanțare și anexele suport relevante (în funcție de investiție). Se verifică: dacă justificarea depusă demonstrează coerent necesitatea și oportunitatea investiției și rezultă potențialul economic/impactul așteptat.</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Ponderea populației rurale care beneficiază de un acces îmbunătățit la servicii și infrastructură prin intermediul sprijinului PAC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Beneficiarul trebuie sa mentioneaze in cererea de finantare, memoriul justificativ/studiu de fezabilitate, numărul locuitorilor care beneficiază de un acces îmbunătățit la servicii și infrastructură prin intermediul investitiei propuse. Expertul verifica existenta mentionarii acestui indicator.Documente verificate: cerere finantare, memoriu justificativ/studiu de fezabilitate.</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GAL MH va prioritiza investițiile propuse în legatură cu Mocănița, desfasurate pe teritoriul GAL MH.</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1.1 </w:t>
            </w:r>
          </w:p>
        </w:tc>
        <w:tc>
          <w:tcPr>
            <w:shd w:val="clear" w:color="auto" w:fill="F8ECD2"/>
            <w:vAlign w:val="center"/>
          </w:tcPr>
          <w:p>
            <w:r>
              <w:rPr>
                <w:rFonts w:ascii="Cambria" w:hAnsi="Cambria"/>
                <w:b w:val="false"/>
                <w:color w:val="58400C"/>
                <w:sz w:val="24"/>
              </w:rPr>
              <w:t>Investitia propusa este în legatură directă cu Mocănița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 si documente obligatorii:Metodologia de verificareSe verifică, in cererea de finantare și T0 (vezi Anexa - Tabele):- existența sprijinului direct (relație nemijlocită între investiție și Mocănița, nu doar efect general turistic/cultural);- implementarea pe teritoriul GAL MH (UAT/adresă/locație);- coerența între descrierea investiției, locație și justificareSe punctează numai investițiile care sprijină direct Mocănița și sunt implementate pe teritoriul GAL MH.Punctaj: 20p = sprijin direct demonstrat; 0p = sprijin nedovedit / neîncadrabil.Documente obligatoriiCererea de finanțare: descrierea investiției + justificarea sprijinului direct pentru Mocănița (inclusiv secțiunile relevante și E2.2).Anexa T0 – „Legătura cu Mocănița” (recomandată pentru structurarea justificării; poate duplica textul din Cererea de finanțare).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Necesitate (deficit demonstrat): se prioritizează proiectele care răspund unui deficit demonstrat (infrastructură/serviciu inexistent(ă), nefuncțional(ă) sau insuficient(ă)), conform grilei și dovezilor detaliate în Ghid;</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2.1</w:t>
            </w:r>
          </w:p>
        </w:tc>
        <w:tc>
          <w:tcPr>
            <w:shd w:val="clear" w:color="auto" w:fill="F8ECD2"/>
            <w:vAlign w:val="center"/>
          </w:tcPr>
          <w:p>
            <w:r>
              <w:rPr>
                <w:rFonts w:ascii="Cambria" w:hAnsi="Cambria"/>
                <w:b w:val="false"/>
                <w:color w:val="58400C"/>
                <w:sz w:val="24"/>
              </w:rPr>
              <w:t>Deficit critic / inexistent / nefuncțional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r>
              <w:rPr>
                <w:rFonts w:ascii="Cambria Bold" w:hAnsi="Cambria Bold"/>
                <w:b/>
                <w:sz w:val="24"/>
              </w:rPr>
              <w:t>Metodologia de verificare</w:t>
            </w:r>
            <w:r>
              <w:rPr>
                <w:rFonts w:ascii="Cambria" w:hAnsi="Cambria"/>
                <w:b w:val="false"/>
                <w:sz w:val="24"/>
              </w:rPr>
              <w:t>Se verifică:- existența T6 - dovada minima (vezi Anexa - Tabele);- coerența deficit–soluție–buget/deviz.Solicitantul demonstreaza ca infrastructura/serviciul nu există sau nu funcționează (este indisponibil/întrerupt) astfel încât beneficiarii nu pot utiliza serviciul/funcțiunea vizată sau utilizarea este practic imposibilă.Solicitantul face dovada care arată lipsa/nefucționalitatea, iar soluția propusă restabilește/creează funcțiunea.Documente obligatoriiAnexa T6 completată;1 dovadă minimă a situației existente (foto datate 2–4 sau PV constatare 1 pag. sau extras strategie–HCL – pagini relevante).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2.2</w:t>
            </w:r>
          </w:p>
        </w:tc>
        <w:tc>
          <w:tcPr>
            <w:shd w:val="clear" w:color="auto" w:fill="F8ECD2"/>
            <w:vAlign w:val="center"/>
          </w:tcPr>
          <w:p>
            <w:r>
              <w:rPr>
                <w:rFonts w:ascii="Cambria" w:hAnsi="Cambria"/>
                <w:b w:val="false"/>
                <w:color w:val="58400C"/>
                <w:sz w:val="24"/>
              </w:rPr>
              <w:t>Deficit major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verifică: T6 (vezi Anexa - Tabele) in care este explicată clar insuficiența (cine/ce/în ce perioadă), iar investiția crește capacitatea/îmbunătățește funcțiunea.Solicitantul demonstreaza ca infrastructura/serviciul există și funcționează parțial, dar este insuficient pentru nevoi (capacitate/grad de acoperire prea mic, dotări esențiale lipsă, acces limitat) și afectează semnificativ utilizarea.Documente obligatoriiAnexa T6 completată;1 dovadă minimă a situației existente (alege una: foto datate 2–4 / PV constatare 1 pag. / extras strategie–HCL – pagini relevante).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2.3</w:t>
            </w:r>
          </w:p>
        </w:tc>
        <w:tc>
          <w:tcPr>
            <w:shd w:val="clear" w:color="auto" w:fill="F8ECD2"/>
            <w:vAlign w:val="center"/>
          </w:tcPr>
          <w:p>
            <w:r>
              <w:rPr>
                <w:rFonts w:ascii="Cambria" w:hAnsi="Cambria"/>
                <w:b w:val="false"/>
                <w:color w:val="58400C"/>
                <w:sz w:val="24"/>
              </w:rPr>
              <w:t>Deficit moderat </w:t>
            </w:r>
          </w:p>
        </w:tc>
        <w:tc>
          <w:tcPr>
            <w:vAlign w:val="center"/>
          </w:tcPr>
          <w:p>
            <w:pPr>
              <w:keepNext/>
              <w:jc w:val="center"/>
            </w:pPr>
            <w:r>
              <w:rPr>
                <w:rFonts w:ascii="Cambria" w:hAnsi="Cambria"/>
                <w:b w:val="false"/>
                <w:sz w:val="24"/>
              </w:rPr>
              <w:t>5 </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verificareSe verifică: T6 (vezi Anexa - Tabele) care face dovada si confirmă necesitatea, iar soluția propusă este proporțională cu problema.Solicitantul arata ca există un deficit real, dar cu impact limitat (îmbunătățire necesară, optimizare, completare dotări), fără a bloca utilizarea de bază.Se acordă 0p dacă: nu se depune T6 și/sau dovada minimă; sau dovada nu susține deficitul invocat; sau nu există coerență între deficit și investiția propusă.Documente obligatoriiAnexa T6 completată; 1 dovadă minimă a situației existente (alege una: foto datate 2–4 / PV constatare 1 pag. / extras strategie–HCL – pagini relevante).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Impact si acoperire teritorială: se prioritizează proiectele care demonstrează impact (beneficiari direcți/an), acoperire teritorială (impact zonal în mai multe UAT-uri), conform grilei și dovezilor detaliate în Ghid;</w:t>
            </w:r>
          </w:p>
          <w:p>
            <w:pPr>
              <w:spacing w:line="360" w:lineRule="auto"/>
              <w:ind w:left="0" w:right="0" w:firstLine="493"/>
            </w:pPr>
            <w:r>
              <w:rPr>
                <w:rFonts w:ascii="Cambria Bold" w:hAnsi="Cambria Bold"/>
                <w:b/>
                <w:color w:val="014935"/>
                <w:sz w:val="24"/>
              </w:rPr>
              <w:t>CS3 = CS 3.1 + CS 3.2 (max. 25p)</w:t>
            </w:r>
          </w:p>
        </w:tc>
        <w:tc>
          <w:tcPr>
            <w:shd w:val="clear" w:color="auto" w:fill="CCE1DB"/>
            <w:vAlign w:val="center"/>
          </w:tcPr>
          <w:p>
            <w:pPr>
              <w:spacing w:line="360" w:lineRule="auto"/>
              <w:ind w:left="0" w:right="0" w:firstLine="493"/>
            </w:pPr>
            <w:r>
              <w:rPr>
                <w:rFonts w:ascii="Cambria Bold" w:hAnsi="Cambria Bold"/>
                <w:b/>
                <w:color w:val="014935"/>
                <w:sz w:val="24"/>
              </w:rPr>
              <w:t>25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3.1.1</w:t>
            </w:r>
          </w:p>
        </w:tc>
        <w:tc>
          <w:tcPr>
            <w:shd w:val="clear" w:color="auto" w:fill="F8ECD2"/>
            <w:vAlign w:val="center"/>
          </w:tcPr>
          <w:p>
            <w:r>
              <w:rPr>
                <w:rFonts w:ascii="Cambria" w:hAnsi="Cambria"/>
                <w:b w:val="false"/>
                <w:color w:val="58400C"/>
                <w:sz w:val="24"/>
              </w:rPr>
              <w:t>Impact: ≥ 500 participări/an.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w:t>
            </w:r>
          </w:p>
          <w:p>
            <w:pPr>
              <w:spacing w:line="360" w:lineRule="auto"/>
              <w:ind w:left="0" w:right="0" w:firstLine="493"/>
            </w:pPr>
            <w:r>
              <w:rPr>
                <w:rFonts w:ascii="Cambria" w:hAnsi="Cambria"/>
                <w:b w:val="false"/>
                <w:sz w:val="24"/>
              </w:rPr>
              <w:t>Indicatorul „beneficiari direcți/an” este operaționalizat și cuantificat prin „participări/an”, calculate ca număr de participări la activități/servicii într-un an. Se acceptă calculul pe baza participărilor (aceeași persoană poate participa de mai multe ori într-un an). Se verifică dacă:- solicitantul a completat calculul din Anexa T1 (A, B, A×B) și a indicat explicit că estimarea reprezintă participări (unde este cazul); rezultatul este ≥ 500 participări/an;- valorile A și B sunt plauzibile și coerente cu activitățile propuse și cu investiția. </w:t>
            </w:r>
            <w:r>
              <w:rPr>
                <w:rFonts w:ascii="Cambria Bold" w:hAnsi="Cambria Bold"/>
                <w:b/>
                <w:sz w:val="24"/>
                <w:lang w:val="it"/>
              </w:rPr>
              <w:t>Documente obligatorii</w:t>
            </w:r>
            <w:r>
              <w:rPr>
                <w:rFonts w:ascii="Cambria" w:hAnsi="Cambria"/>
                <w:b w:val="false"/>
                <w:sz w:val="24"/>
                <w:lang w:val="it"/>
              </w:rPr>
              <w:t>Anexa T1 completată (A, B, A×B + justificare scurtă – vezi Anexa – Tabele); Program/calendar estimativ (max. 1 pagină) – pentru susținerea lui A.</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3.1.2</w:t>
            </w:r>
          </w:p>
        </w:tc>
        <w:tc>
          <w:tcPr>
            <w:shd w:val="clear" w:color="auto" w:fill="F8ECD2"/>
            <w:vAlign w:val="center"/>
          </w:tcPr>
          <w:p>
            <w:r>
              <w:rPr>
                <w:rFonts w:ascii="Cambria" w:hAnsi="Cambria"/>
                <w:b w:val="false"/>
                <w:color w:val="58400C"/>
                <w:sz w:val="24"/>
                <w:lang w:val="it"/>
              </w:rPr>
              <w:t>Impact: intre 100–499 participări/an</w:t>
            </w:r>
            <w:r>
              <w:rPr>
                <w:rFonts w:ascii="Cambria" w:hAnsi="Cambria"/>
                <w:b w:val="false"/>
                <w:color w:val="58400C"/>
                <w:sz w:val="24"/>
              </w:rPr>
              <w:t>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Metodologia de verificare</w:t>
            </w:r>
          </w:p>
          <w:p>
            <w:pPr>
              <w:spacing w:line="360" w:lineRule="auto"/>
              <w:ind w:left="0" w:right="0" w:firstLine="493"/>
            </w:pPr>
            <w:r>
              <w:rPr>
                <w:rFonts w:ascii="Cambria" w:hAnsi="Cambria"/>
                <w:b w:val="false"/>
                <w:sz w:val="24"/>
              </w:rPr>
              <w:t>Indicatorul „beneficiari direcți/an” este operaționalizat și cuantificat prin „participări/an”, calculate ca număr de participări la activități/servicii într-un an. Se acceptă calculul pe baza participărilor (aceeași persoană poate participa de mai multe ori într-un an).</w:t>
            </w:r>
          </w:p>
          <w:p>
            <w:pPr>
              <w:spacing w:line="360" w:lineRule="auto"/>
              <w:ind w:left="0" w:right="0" w:firstLine="493"/>
            </w:pPr>
            <w:r>
              <w:rPr>
                <w:rFonts w:ascii="Cambria" w:hAnsi="Cambria"/>
                <w:b w:val="false"/>
                <w:sz w:val="24"/>
                <w:lang w:val="it"/>
              </w:rPr>
              <w:t>Se verifică dacă: Anexa T1 este completată corect (A, B, A×B) și justificată succint; rezultatul este între 100 și 499 participări/an; valorile A și B sunt plauzibile și coerente cu activitățile propuse și cu investiția.</w:t>
            </w:r>
            <w:r>
              <w:rPr>
                <w:rFonts w:ascii="Cambria Bold" w:hAnsi="Cambria Bold"/>
                <w:b/>
                <w:sz w:val="24"/>
                <w:lang w:val="it"/>
              </w:rPr>
              <w:t>Documente obligatorii</w:t>
            </w:r>
            <w:r>
              <w:rPr>
                <w:rFonts w:ascii="Cambria" w:hAnsi="Cambria"/>
                <w:b w:val="false"/>
                <w:sz w:val="24"/>
                <w:lang w:val="it"/>
              </w:rPr>
              <w:t>Anexa T1 completată (A, B, A×B + justificare scurtă – vezi Anexa – Tabele); Program/calendar estimativ (max. 1 pagină) – pentru susținerea lui A. Pentru &lt;100 participări/an sau lipsă T1 se acorda 0 puncte.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3.2</w:t>
            </w:r>
          </w:p>
        </w:tc>
        <w:tc>
          <w:tcPr>
            <w:shd w:val="clear" w:color="auto" w:fill="F8ECD2"/>
            <w:vAlign w:val="center"/>
          </w:tcPr>
          <w:p>
            <w:r>
              <w:rPr>
                <w:rFonts w:ascii="Cambria" w:hAnsi="Cambria"/>
                <w:b w:val="false"/>
                <w:color w:val="58400C"/>
                <w:sz w:val="24"/>
                <w:lang w:val="it"/>
              </w:rPr>
              <w:t>Acoperire teritorială: ≥ 2 UAT-uri deservite  </w:t>
            </w:r>
            <w:r>
              <w:rPr>
                <w:rFonts w:ascii="Cambria" w:hAnsi="Cambria"/>
                <w:b w:val="false"/>
                <w:color w:val="58400C"/>
                <w:sz w:val="24"/>
                <w:lang w:val="it"/>
              </w:rPr>
              <w:t>(UAT implementare + cel puțin 1 UAT suplimentar)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lang w:val="it"/>
              </w:rPr>
              <w:t>Metodologia de verificare</w:t>
            </w:r>
            <w:r>
              <w:rPr>
                <w:rFonts w:ascii="Cambria" w:hAnsi="Cambria"/>
                <w:b w:val="false"/>
                <w:sz w:val="24"/>
                <w:lang w:val="it"/>
              </w:rPr>
              <w:t>Punctajul se acordă pentru ≥ 2 UAT-uri deservite (UAT implementare + cel puțin 1 UAT suplimentar). Nu se acordă punctaj pentru Acoperire teritorială dacă lipsește anexa (T4 – vezi Anexa – Tabele) sau dovada minimă pentru UAT-ul suplimentar (punctat).</w:t>
            </w:r>
            <w:r>
              <w:rPr>
                <w:rFonts w:ascii="Cambria Bold" w:hAnsi="Cambria Bold"/>
                <w:b/>
                <w:sz w:val="24"/>
                <w:lang w:val="it"/>
              </w:rPr>
              <w:t>Documente obligatorii</w:t>
            </w:r>
            <w:r>
              <w:rPr>
                <w:rFonts w:ascii="Cambria" w:hAnsi="Cambria"/>
                <w:b w:val="false"/>
                <w:sz w:val="24"/>
                <w:lang w:val="it"/>
              </w:rPr>
              <w:t>Anexa T4 completată (UAT implementare + 1 UAT suplimentar; descriere scurtă “cum sunt deservite”); Pentru UAT-ul suplimentar (punctat): 1 dovadă de acces/beneficiari, la alegere (protocol/parteneriat / acord/intenție / contract-regulament acces / înscris relevant).</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Dezvoltarea economică a localității: se prioritizează localitatile mai slab dezvoltate economic (punctaj teritorial), conform anexelor Ghidului;</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4.1</w:t>
            </w:r>
          </w:p>
        </w:tc>
        <w:tc>
          <w:tcPr>
            <w:shd w:val="clear" w:color="auto" w:fill="F8ECD2"/>
            <w:vAlign w:val="center"/>
          </w:tcPr>
          <w:p>
            <w:r>
              <w:rPr>
                <w:rFonts w:ascii="Cambria" w:hAnsi="Cambria"/>
                <w:b w:val="false"/>
                <w:color w:val="58400C"/>
                <w:sz w:val="24"/>
              </w:rPr>
              <w:t>Dezvoltarea economică a localității: Se prioritizează proiectele implementate în localități mai slab dezvoltate economic, în vederea reducerii disparităților teritoriale la nivelul GAL.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verificareSe verifică:- UAT-ul de implementare al proiectului (respectiv localitatea în care se realizează investiția), astfel cum este menționat în Cererea de finanțare și în documentele aferente amplasamentului;- Punctajul corespunzător UAT-ului respectiv, conform Anexei la Ghid – "Raport_dezvoltare economica a localitatilor GAL MH”.- Punctajul CSP4 este egal cu punctajul P_econ aferent UAT-ului de implementare, preluat direct din anexă.Documente obligatorii- Cererea de finanțare (menționarea UAT-ului de implementare);- Pentru ONG/unitate de cult (după caz): document care atestă amplasamentul investiției (act de proprietate/folosință/administrare), din care rezultă UAT-ul.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Eficiență cost–impact (€/beneficiar/an): se prioritizează proiectele cu raport favorabil între valoarea nerambursabilă solicitată și beneficiarii direcți/an, conform Ghidului;</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5.1 </w:t>
            </w:r>
          </w:p>
        </w:tc>
        <w:tc>
          <w:tcPr>
            <w:shd w:val="clear" w:color="auto" w:fill="F8ECD2"/>
            <w:vAlign w:val="center"/>
          </w:tcPr>
          <w:p>
            <w:r>
              <w:rPr>
                <w:rFonts w:ascii="Cambria" w:hAnsi="Cambria"/>
                <w:b w:val="false"/>
                <w:color w:val="58400C"/>
                <w:sz w:val="24"/>
              </w:rPr>
              <w:t>Eficiență cost–impact (≤ 60 €/participare/an)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verificarePentru CS5 se utilizează același indicator ca la CS3(a). În sensul prezentului Ghid, „beneficiari direcți/an” este cuantificat prin„participări/an” (din Anexa T1), utilizate în calculul €/participare/an (Anexa T2).Se verifică:- valoarea nerambursabilă solicitată, conform Cererii de finanțare;- participările/an, conform Anexei T1 – vezi Anexa – Tabele;- corectitudinea calculului din Anexa T2 – vezi Anexa – Tabele;- încadrarea rezultatului în tranșa ≤ 60 €/participare/an.Documente obligatorii- Cererea de finanțare (valoarea nerambursabilă solicitată);- Anexa T1 completată (participări/an);- Anexa T2 completată (calcul €/participare/an + tranșa bifată);- Buget/deviz (pentru coerența valorii).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5.2</w:t>
            </w:r>
          </w:p>
        </w:tc>
        <w:tc>
          <w:tcPr>
            <w:shd w:val="clear" w:color="auto" w:fill="F8ECD2"/>
            <w:vAlign w:val="center"/>
          </w:tcPr>
          <w:p>
            <w:r>
              <w:rPr>
                <w:rFonts w:ascii="Cambria" w:hAnsi="Cambria"/>
                <w:b w:val="false"/>
                <w:color w:val="58400C"/>
                <w:sz w:val="24"/>
              </w:rPr>
              <w:t>Eficiență cost–impact (60,01–100 €/participare/an)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verificareSe verifică aceleași elemente ca la CS 5.1 și încadrarea rezultatului în tranșa 60,01–100 €/participare/an; 0p = &gt;100 / neprezentat / necoerent.Documente obligatorii- Cererea de finanțare (valoarea nerambursabilă solicitată);- Anexa T1 completată (participări/an);- Anexa T2 completată (calcul €/participare/an + tranșa bifată);- Buget/deviz (pentru coerența valorii).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6</w:t>
            </w:r>
            <w:r>
              <w:rPr>
                <w:rFonts w:ascii="Cambria" w:hAnsi="Cambria"/>
                <w:b w:val="false"/>
                <w:color w:val="014935"/>
                <w:sz w:val="24"/>
              </w:rPr>
              <w:t>   </w:t>
            </w:r>
            <w:r>
              <w:rPr>
                <w:rFonts w:ascii="Cambria Bold" w:hAnsi="Cambria Bold"/>
                <w:b/>
                <w:color w:val="014935"/>
                <w:sz w:val="24"/>
              </w:rPr>
              <w:t>Gradul de izolare al localității: punctaj teritorial preluat direct din Anexa la Ghid – Raport izolare 0–10, conform grilei din Ghid.</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6.1</w:t>
            </w:r>
          </w:p>
        </w:tc>
        <w:tc>
          <w:tcPr>
            <w:shd w:val="clear" w:color="auto" w:fill="F8ECD2"/>
            <w:vAlign w:val="center"/>
          </w:tcPr>
          <w:p>
            <w:r>
              <w:rPr>
                <w:rFonts w:ascii="Cambria" w:hAnsi="Cambria"/>
                <w:b w:val="false"/>
                <w:color w:val="58400C"/>
                <w:sz w:val="24"/>
              </w:rPr>
              <w:t>Se prioritizează proiectele implementate în localități cu grad ridicat de izolare, în vederea reducerii dezechilibrelor teritoriale și îmbunătățirii accesului la servicii și infrastructură.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Gradul de izolare al localității = punctaj teritorial preluat direct din Anexa la Ghid – Raportizolare a localitatilor GAL MH, conform grilei din Ghid.Metodologia de verificareSe verifică:- UAT-ul de implementare al investiției (conform Cererii de finanțare și documentelor privind amplasamentul);- punctajul corespunzător UAT-ului respectiv, preluat direct din Anexa la Ghid – Raport grad izolare a localitatilor GAL MH.Punctajul CS6 este egal cu punctajul aferent UAT-ului din anexă.Documente obligatorii- Cererea de finanțare (menționarea UAT-ului de implementare);- Pentru ONG/unitate de cult (după caz): document care atestă amplasamentul investiției (act de proprietate/folosință/administrare);- Anexa la Ghid – „Punctaj grad izolare (0–10)” (document de referință pentru evaluare).PRAGUL MINIM de selecție al proiectelor este de 20 de puncte.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r>
              <w:rPr>
                <w:rFonts w:ascii="Cambria" w:hAnsi="Cambria"/>
                <w:b w:val="false"/>
                <w:color w:val="58400C"/>
                <w:sz w:val="24"/>
              </w:rPr>
              <w:t>GAL MH va prioritiza investițiile propuse în legătură cu Mocănița,desfășurate pe teritoriul GAL MH.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verificareSe verifică, in cererea de finantare și T0 (vezi Anexa - Tabele):- existența sprijinului direct (relație nemijlocită între investiție și Mocănița, nu doar efect general turistic/cultural);- implementarea pe teritoriul GAL MH (UAT/adresă/locație);- coerența între descrierea investiției, locație și justificareSe punctează numai investițiile care sprijină direct Mocănița și sunt implementate pe teritoriul GAL MH.Punctaj: 20p = sprijin direct demonstrat; 0p = sprijin indirect / nedovedit / neîncadrabil.Documente obligatoriiCererea de finanțare: descrierea investiției + justificarea sprijinului direct pentru Mocănița (inclusiv secțiunile relevante și E2.2).Anexa T0 – „Legătura cu Mocănița” (recomandată pentru structurarea justificării; poate duplica textul din Cererea de finanțare).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 </w:t>
            </w:r>
          </w:p>
        </w:tc>
        <w:tc>
          <w:tcPr>
            <w:shd w:val="clear" w:color="auto" w:fill="F8ECD2"/>
            <w:vAlign w:val="center"/>
          </w:tcPr>
          <w:p>
            <w:r>
              <w:rPr>
                <w:rFonts w:ascii="Cambria" w:hAnsi="Cambria"/>
                <w:b w:val="false"/>
                <w:color w:val="58400C"/>
                <w:sz w:val="24"/>
              </w:rPr>
              <w:t>Dezvoltarea economică alocalității: Se prioritizeazăproiectele implementate în localități mai slab dezvoltate economic, în vederea reduceriidisparităților teritoriale la nivelul GAL.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verificareSe verifică:- UAT-ul de implementare al proiectului (respectiv localitatea în care se realizează investiția), astfel cum este menționat în Cererea de finanțare șiîn documentele aferente amplasamentului;- punctajul corespunzător UAT-ului respectiv, conform Anexei la Ghid – „Punctaj dezvoltare economică localități (P_econ 0–15)”.Punctajul CS4 este egal cu punctajul P_econ aferent UAT-ului de implementare, preluat direct din anexă.Documente obligatorii- Cererea de finanțare (menționarea UAT-ului de implementare);- Pentru ONG/unitate de cult (după caz): document care atestă amplasamentul investiției (act de proprietate/folosință/administrare), din care rezultă UAT-ul.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a6a92f366cee4d80" /></Relationships>
</file>